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B50B9" w14:textId="1C07A6DD" w:rsidR="0025047F" w:rsidRPr="005A0AB3" w:rsidRDefault="00F721D8" w:rsidP="005A0AB3">
      <w:r>
        <w:t xml:space="preserve">2021 Seattle Commercial Energy Code </w:t>
      </w:r>
      <w:r w:rsidR="000D795C">
        <w:t>significant changes</w:t>
      </w:r>
    </w:p>
    <w:p w14:paraId="2358E11F" w14:textId="07D2E9A1" w:rsidR="005A0AB3" w:rsidRPr="005A0AB3" w:rsidRDefault="005A0AB3" w:rsidP="006512F8">
      <w:pPr>
        <w:pStyle w:val="ListParagraph"/>
        <w:numPr>
          <w:ilvl w:val="0"/>
          <w:numId w:val="19"/>
        </w:numPr>
      </w:pPr>
      <w:r w:rsidRPr="005A0AB3">
        <w:t>The 2021 SEC will largely match the 2021 WA State Energy Code</w:t>
      </w:r>
      <w:r w:rsidR="00A945B1">
        <w:t>,</w:t>
      </w:r>
      <w:r w:rsidRPr="005A0AB3">
        <w:t xml:space="preserve"> including adoption of the</w:t>
      </w:r>
      <w:r w:rsidR="00A945B1">
        <w:t xml:space="preserve"> new</w:t>
      </w:r>
      <w:r w:rsidRPr="005A0AB3">
        <w:t xml:space="preserve"> </w:t>
      </w:r>
      <w:r w:rsidR="00A945B1">
        <w:t>“</w:t>
      </w:r>
      <w:r w:rsidRPr="005A0AB3">
        <w:t>fossil fuel compliance path.</w:t>
      </w:r>
      <w:r w:rsidR="00A945B1">
        <w:t>”</w:t>
      </w:r>
      <w:r w:rsidRPr="005A0AB3">
        <w:t> </w:t>
      </w:r>
      <w:r w:rsidR="00A45771">
        <w:t xml:space="preserve">Several </w:t>
      </w:r>
      <w:r w:rsidR="001B52C6">
        <w:t xml:space="preserve">significant </w:t>
      </w:r>
      <w:r w:rsidR="005C4A18">
        <w:t xml:space="preserve">2018 SEC provisions have been adopted into the </w:t>
      </w:r>
      <w:r w:rsidR="001B52C6">
        <w:t xml:space="preserve">2021 state </w:t>
      </w:r>
      <w:r w:rsidR="005C4A18">
        <w:t>code</w:t>
      </w:r>
      <w:r w:rsidRPr="005A0AB3">
        <w:t>. </w:t>
      </w:r>
    </w:p>
    <w:p w14:paraId="23C11E0E" w14:textId="35044D39" w:rsidR="005A0AB3" w:rsidRPr="005A0AB3" w:rsidRDefault="005A0AB3" w:rsidP="006512F8">
      <w:pPr>
        <w:pStyle w:val="ListParagraph"/>
        <w:numPr>
          <w:ilvl w:val="0"/>
          <w:numId w:val="19"/>
        </w:numPr>
      </w:pPr>
      <w:r w:rsidRPr="005A0AB3">
        <w:t>Stringency levels of existing 2018 SEC provisions are maintained</w:t>
      </w:r>
      <w:r>
        <w:t>, and a</w:t>
      </w:r>
      <w:r w:rsidRPr="005A0AB3">
        <w:t xml:space="preserve"> few 2021 amendments provide greater efficiency than both the 2018 SEC and </w:t>
      </w:r>
      <w:r w:rsidR="00026404">
        <w:t xml:space="preserve">the </w:t>
      </w:r>
      <w:r w:rsidRPr="005A0AB3">
        <w:t xml:space="preserve">2021 state </w:t>
      </w:r>
      <w:r w:rsidR="00026404">
        <w:t>code.</w:t>
      </w:r>
      <w:r w:rsidRPr="005A0AB3">
        <w:t> </w:t>
      </w:r>
    </w:p>
    <w:p w14:paraId="508808D9" w14:textId="717DBE97" w:rsidR="005A0AB3" w:rsidRPr="005A0AB3" w:rsidRDefault="005A0AB3" w:rsidP="005A0AB3">
      <w:pPr>
        <w:pStyle w:val="ListParagraph"/>
        <w:numPr>
          <w:ilvl w:val="0"/>
          <w:numId w:val="19"/>
        </w:numPr>
      </w:pPr>
      <w:r w:rsidRPr="005A0AB3">
        <w:t>Several 2021 SEC amendments provide greater flexibility than was provided in the 2018 SEC for existing buildings</w:t>
      </w:r>
      <w:r>
        <w:t xml:space="preserve">, while </w:t>
      </w:r>
      <w:r w:rsidR="001B52C6">
        <w:t>other</w:t>
      </w:r>
      <w:r w:rsidR="00D72270">
        <w:t xml:space="preserve"> amendments</w:t>
      </w:r>
      <w:r w:rsidRPr="005A0AB3">
        <w:t xml:space="preserve"> </w:t>
      </w:r>
      <w:r w:rsidR="00A54DB8">
        <w:t>are</w:t>
      </w:r>
      <w:r w:rsidRPr="005A0AB3">
        <w:t xml:space="preserve"> </w:t>
      </w:r>
      <w:r w:rsidR="00A54DB8" w:rsidRPr="005A0AB3">
        <w:t xml:space="preserve">clarifications </w:t>
      </w:r>
      <w:r w:rsidR="00D72270">
        <w:t>or</w:t>
      </w:r>
      <w:r w:rsidR="00A54DB8" w:rsidRPr="005A0AB3">
        <w:t xml:space="preserve"> </w:t>
      </w:r>
      <w:r w:rsidRPr="005A0AB3">
        <w:t>corrections</w:t>
      </w:r>
      <w:r w:rsidR="00A54DB8">
        <w:t xml:space="preserve"> to the state code</w:t>
      </w:r>
      <w:r w:rsidRPr="005A0AB3">
        <w:t>. </w:t>
      </w:r>
    </w:p>
    <w:p w14:paraId="6F377FB8" w14:textId="77777777" w:rsidR="00237A9D" w:rsidRDefault="005A0AB3" w:rsidP="00237A9D">
      <w:pPr>
        <w:spacing w:after="0"/>
      </w:pPr>
      <w:r w:rsidRPr="005A0AB3">
        <w:t xml:space="preserve">Key changes to the 2021 Seattle Energy code Commercial provisions are </w:t>
      </w:r>
      <w:r w:rsidR="001B52C6">
        <w:t>listed</w:t>
      </w:r>
      <w:r w:rsidRPr="005A0AB3">
        <w:t xml:space="preserve"> below.  </w:t>
      </w:r>
    </w:p>
    <w:p w14:paraId="06B80CF1" w14:textId="77777777" w:rsidR="00237A9D" w:rsidRDefault="005A0AB3" w:rsidP="00237A9D">
      <w:pPr>
        <w:spacing w:after="0"/>
      </w:pPr>
      <w:r w:rsidRPr="005A0AB3">
        <w:t xml:space="preserve">[W] indicates a significant WA state code change.  </w:t>
      </w:r>
    </w:p>
    <w:p w14:paraId="0DC84361" w14:textId="3F2B99CC" w:rsidR="005A0AB3" w:rsidRPr="005A0AB3" w:rsidRDefault="005A0AB3" w:rsidP="005A0AB3">
      <w:r w:rsidRPr="005A0AB3">
        <w:t>[S] indicates a significant Seattle code change.  </w:t>
      </w:r>
    </w:p>
    <w:p w14:paraId="56CD8BD8" w14:textId="68BE5AB6" w:rsidR="005A0AB3" w:rsidRPr="005A0AB3" w:rsidRDefault="005A0AB3" w:rsidP="005A0AB3">
      <w:pPr>
        <w:numPr>
          <w:ilvl w:val="0"/>
          <w:numId w:val="15"/>
        </w:numPr>
      </w:pPr>
      <w:r w:rsidRPr="005A0AB3">
        <w:rPr>
          <w:b/>
          <w:bCs/>
        </w:rPr>
        <w:t>C202 Definition of Residential Building</w:t>
      </w:r>
      <w:r w:rsidRPr="005A0AB3">
        <w:t xml:space="preserve">. Residential buildings </w:t>
      </w:r>
      <w:r w:rsidR="007236EB">
        <w:t xml:space="preserve">have been </w:t>
      </w:r>
      <w:r w:rsidRPr="005A0AB3">
        <w:t>redefined to exclude most low-rise multifamily, so that all multifamily</w:t>
      </w:r>
      <w:r w:rsidR="007236EB">
        <w:t xml:space="preserve"> buildings</w:t>
      </w:r>
      <w:r w:rsidRPr="005A0AB3">
        <w:t xml:space="preserve"> must use commercial energy code (except </w:t>
      </w:r>
      <w:r w:rsidR="007236EB">
        <w:t xml:space="preserve">low-rise </w:t>
      </w:r>
      <w:r w:rsidRPr="005A0AB3">
        <w:t xml:space="preserve">buildings </w:t>
      </w:r>
      <w:r w:rsidR="007236EB">
        <w:t>with</w:t>
      </w:r>
      <w:r w:rsidRPr="005A0AB3">
        <w:t xml:space="preserve"> units accessed from exterior walkways)</w:t>
      </w:r>
      <w:r w:rsidR="007236EB">
        <w:t>.</w:t>
      </w:r>
      <w:r w:rsidRPr="005A0AB3">
        <w:t xml:space="preserve"> [W] </w:t>
      </w:r>
    </w:p>
    <w:p w14:paraId="267AD2BC" w14:textId="25ED83EC" w:rsidR="005A0AB3" w:rsidRPr="005A0AB3" w:rsidRDefault="005A0AB3" w:rsidP="005A0AB3">
      <w:pPr>
        <w:numPr>
          <w:ilvl w:val="0"/>
          <w:numId w:val="15"/>
        </w:numPr>
      </w:pPr>
      <w:r w:rsidRPr="005A0AB3">
        <w:rPr>
          <w:b/>
          <w:bCs/>
        </w:rPr>
        <w:t>C401.3</w:t>
      </w:r>
      <w:r w:rsidRPr="005A0AB3">
        <w:t xml:space="preserve"> </w:t>
      </w:r>
      <w:r w:rsidRPr="005A0AB3">
        <w:rPr>
          <w:b/>
          <w:bCs/>
        </w:rPr>
        <w:t>Fossil Fuel Compliance Path added</w:t>
      </w:r>
      <w:r w:rsidR="007236EB">
        <w:t xml:space="preserve">, permitting use of fossil fuel space heating and water heating equipment </w:t>
      </w:r>
      <w:r w:rsidR="002309BB">
        <w:t>with additional efficiency credits.</w:t>
      </w:r>
      <w:r w:rsidRPr="005A0AB3">
        <w:t xml:space="preserve"> [W] </w:t>
      </w:r>
    </w:p>
    <w:p w14:paraId="50F33409" w14:textId="6E9DBBFE" w:rsidR="005A0AB3" w:rsidRPr="005A0AB3" w:rsidRDefault="005A0AB3" w:rsidP="005A0AB3">
      <w:pPr>
        <w:numPr>
          <w:ilvl w:val="0"/>
          <w:numId w:val="15"/>
        </w:numPr>
      </w:pPr>
      <w:r w:rsidRPr="005A0AB3">
        <w:rPr>
          <w:b/>
          <w:bCs/>
        </w:rPr>
        <w:t>C403.3.5.5.</w:t>
      </w:r>
      <w:r w:rsidRPr="005A0AB3">
        <w:t xml:space="preserve"> </w:t>
      </w:r>
      <w:r w:rsidRPr="005A0AB3">
        <w:rPr>
          <w:b/>
          <w:bCs/>
        </w:rPr>
        <w:t>Modifications to the DOAS Requirements.</w:t>
      </w:r>
      <w:r w:rsidRPr="005A0AB3">
        <w:t>  Permit</w:t>
      </w:r>
      <w:r w:rsidR="00667CC2">
        <w:t>s</w:t>
      </w:r>
      <w:r w:rsidRPr="005A0AB3">
        <w:t xml:space="preserve"> supplemental DOAS heating using electric heat pumps for DOAS serving spaces with only zonal heating systems. [S] </w:t>
      </w:r>
    </w:p>
    <w:p w14:paraId="0C846AC8" w14:textId="409B6A21" w:rsidR="00FF1F68" w:rsidRDefault="00FF1F68" w:rsidP="005A0AB3">
      <w:pPr>
        <w:numPr>
          <w:ilvl w:val="0"/>
          <w:numId w:val="15"/>
        </w:numPr>
      </w:pPr>
      <w:r w:rsidRPr="005A0AB3">
        <w:rPr>
          <w:b/>
          <w:bCs/>
        </w:rPr>
        <w:t>C40</w:t>
      </w:r>
      <w:r>
        <w:rPr>
          <w:b/>
          <w:bCs/>
        </w:rPr>
        <w:t>4.3.3</w:t>
      </w:r>
      <w:r w:rsidRPr="005A0AB3">
        <w:rPr>
          <w:b/>
          <w:bCs/>
        </w:rPr>
        <w:t>.</w:t>
      </w:r>
      <w:r w:rsidRPr="005A0AB3">
        <w:t xml:space="preserve"> </w:t>
      </w:r>
      <w:r>
        <w:rPr>
          <w:b/>
          <w:bCs/>
        </w:rPr>
        <w:t>Plumbing code Appendix M for multifamily</w:t>
      </w:r>
      <w:r w:rsidRPr="005A0AB3">
        <w:rPr>
          <w:b/>
          <w:bCs/>
        </w:rPr>
        <w:t>.</w:t>
      </w:r>
      <w:r w:rsidRPr="005A0AB3">
        <w:t xml:space="preserve">  </w:t>
      </w:r>
      <w:r>
        <w:t>Requires use of Seattle Plumbing Code Appendix M for sizing hot water distribution systems piping. [S]</w:t>
      </w:r>
      <w:r w:rsidRPr="005A0AB3">
        <w:t xml:space="preserve"> </w:t>
      </w:r>
    </w:p>
    <w:p w14:paraId="1D2030E3" w14:textId="7B87318A" w:rsidR="005A0AB3" w:rsidRPr="005A0AB3" w:rsidRDefault="005A0AB3" w:rsidP="005A0AB3">
      <w:pPr>
        <w:numPr>
          <w:ilvl w:val="0"/>
          <w:numId w:val="15"/>
        </w:numPr>
      </w:pPr>
      <w:r w:rsidRPr="005A0AB3">
        <w:rPr>
          <w:b/>
          <w:bCs/>
        </w:rPr>
        <w:t>Tables C405.4.2(1) and C405.4.2(2) Lighting Power Allowances</w:t>
      </w:r>
      <w:r w:rsidRPr="005A0AB3">
        <w:t>. Lighting power allowance (LPA) table based on 2022 ASHRAE table, with 5% reduction. This approximates the 2018 Seattle code level of stringency. The ASHRAE LPA values remain unchanged for healthcare, pharmacy, and correctional facilities. [S] </w:t>
      </w:r>
    </w:p>
    <w:p w14:paraId="7700325A" w14:textId="21C1DF32" w:rsidR="005A0AB3" w:rsidRPr="005A0AB3" w:rsidRDefault="005A0AB3" w:rsidP="005A0AB3">
      <w:pPr>
        <w:numPr>
          <w:ilvl w:val="0"/>
          <w:numId w:val="15"/>
        </w:numPr>
      </w:pPr>
      <w:r w:rsidRPr="005A0AB3">
        <w:rPr>
          <w:b/>
          <w:bCs/>
        </w:rPr>
        <w:t>C405.14.1 Electric-ready commercial kitchen.</w:t>
      </w:r>
      <w:r w:rsidRPr="005A0AB3">
        <w:t xml:space="preserve"> Commercial kitchens in new buildings must have electrical capacity for future electrification</w:t>
      </w:r>
      <w:r w:rsidR="00667CC2">
        <w:t xml:space="preserve"> of any gas cooking appliances</w:t>
      </w:r>
      <w:r w:rsidRPr="005A0AB3">
        <w:t>.  [S] </w:t>
      </w:r>
    </w:p>
    <w:p w14:paraId="5D98A83F" w14:textId="6DE30681" w:rsidR="005A0AB3" w:rsidRPr="005A0AB3" w:rsidRDefault="005A0AB3" w:rsidP="005A0AB3">
      <w:pPr>
        <w:numPr>
          <w:ilvl w:val="0"/>
          <w:numId w:val="15"/>
        </w:numPr>
      </w:pPr>
      <w:r w:rsidRPr="005A0AB3">
        <w:rPr>
          <w:b/>
          <w:bCs/>
        </w:rPr>
        <w:t>C406 Efficiency credits table.</w:t>
      </w:r>
      <w:r w:rsidRPr="005A0AB3">
        <w:t xml:space="preserve"> Reorganized and expanded, added “load management” credit</w:t>
      </w:r>
      <w:r w:rsidR="00DB734D">
        <w:t xml:space="preserve"> requirement</w:t>
      </w:r>
      <w:r w:rsidR="00667CC2">
        <w:t>.</w:t>
      </w:r>
      <w:r w:rsidRPr="005A0AB3">
        <w:t xml:space="preserve"> [W] </w:t>
      </w:r>
    </w:p>
    <w:p w14:paraId="447B54F9" w14:textId="428CCB9E" w:rsidR="005A0AB3" w:rsidRPr="005A0AB3" w:rsidRDefault="005A0AB3" w:rsidP="005A0AB3">
      <w:pPr>
        <w:numPr>
          <w:ilvl w:val="0"/>
          <w:numId w:val="15"/>
        </w:numPr>
      </w:pPr>
      <w:r w:rsidRPr="005A0AB3">
        <w:rPr>
          <w:b/>
          <w:bCs/>
        </w:rPr>
        <w:t xml:space="preserve">C406 Submetering for </w:t>
      </w:r>
      <w:r w:rsidR="00F006C2">
        <w:rPr>
          <w:b/>
          <w:bCs/>
        </w:rPr>
        <w:t>m</w:t>
      </w:r>
      <w:r w:rsidR="00667CC2">
        <w:rPr>
          <w:b/>
          <w:bCs/>
        </w:rPr>
        <w:t>ultifamily</w:t>
      </w:r>
      <w:r w:rsidRPr="005A0AB3">
        <w:t xml:space="preserve">: 2021 SEC has an alternative option for multifamily buildings large enough to be subject to the state code submetering requirements.  </w:t>
      </w:r>
      <w:r w:rsidR="00667CC2">
        <w:t>Such buildings</w:t>
      </w:r>
      <w:r w:rsidRPr="005A0AB3">
        <w:t xml:space="preserve"> can</w:t>
      </w:r>
      <w:r w:rsidR="00667CC2">
        <w:t xml:space="preserve"> now</w:t>
      </w:r>
      <w:r w:rsidRPr="005A0AB3">
        <w:t xml:space="preserve"> provide additional solar or achieve other credits from the C406 efficiency credits table in lieu of submetering. This option maintains the stringency of the state code, while still providing alternate compliance options. [S] </w:t>
      </w:r>
    </w:p>
    <w:p w14:paraId="4A77B75D" w14:textId="4A740F8B" w:rsidR="005A0AB3" w:rsidRPr="005A0AB3" w:rsidRDefault="005A0AB3" w:rsidP="005A0AB3">
      <w:pPr>
        <w:numPr>
          <w:ilvl w:val="0"/>
          <w:numId w:val="15"/>
        </w:numPr>
      </w:pPr>
      <w:r w:rsidRPr="005A0AB3">
        <w:rPr>
          <w:b/>
          <w:bCs/>
        </w:rPr>
        <w:t>C407 Building Performance Pathways.</w:t>
      </w:r>
      <w:r w:rsidRPr="005A0AB3">
        <w:t xml:space="preserve">   The Building Performance Targets in the 2021 WA code have been adjusted for R-1 hotel and R-2 Multifamily.  These changes maintain 2018 SEC efficiency for R-1 Hotel and R-2 Multifamily occupancies.  For all other occupancies, </w:t>
      </w:r>
      <w:r w:rsidRPr="005A0AB3">
        <w:lastRenderedPageBreak/>
        <w:t xml:space="preserve">this amendment will match WA State Code.  The state </w:t>
      </w:r>
      <w:r w:rsidR="00667CC2">
        <w:t>adjusted</w:t>
      </w:r>
      <w:r w:rsidRPr="005A0AB3">
        <w:t xml:space="preserve"> targets for most occupancies and added a “site energy use” target. [S]/[W] </w:t>
      </w:r>
    </w:p>
    <w:p w14:paraId="6DC23BA1" w14:textId="77777777" w:rsidR="005A0AB3" w:rsidRPr="005A0AB3" w:rsidRDefault="005A0AB3" w:rsidP="005A0AB3">
      <w:pPr>
        <w:numPr>
          <w:ilvl w:val="0"/>
          <w:numId w:val="15"/>
        </w:numPr>
      </w:pPr>
      <w:r w:rsidRPr="005A0AB3">
        <w:rPr>
          <w:b/>
          <w:bCs/>
        </w:rPr>
        <w:t xml:space="preserve">C407.3.1 Limits on substandard building envelopes. </w:t>
      </w:r>
      <w:r w:rsidRPr="005A0AB3">
        <w:t>The total UxA for the building envelope is not permitted to be more than 10% higher than allowed by prescriptive compliance [S] </w:t>
      </w:r>
    </w:p>
    <w:p w14:paraId="4F768F51" w14:textId="14212E0E" w:rsidR="005A0AB3" w:rsidRPr="005A0AB3" w:rsidRDefault="005A0AB3" w:rsidP="005A0AB3">
      <w:pPr>
        <w:numPr>
          <w:ilvl w:val="0"/>
          <w:numId w:val="16"/>
        </w:numPr>
      </w:pPr>
      <w:r w:rsidRPr="005A0AB3">
        <w:rPr>
          <w:b/>
          <w:bCs/>
        </w:rPr>
        <w:t>C408 Commissioning.</w:t>
      </w:r>
      <w:r w:rsidRPr="005A0AB3">
        <w:t xml:space="preserve"> New </w:t>
      </w:r>
      <w:r w:rsidR="000F707E">
        <w:t xml:space="preserve">post-occupancy </w:t>
      </w:r>
      <w:r w:rsidRPr="005A0AB3">
        <w:t xml:space="preserve">commissioning compliance rules </w:t>
      </w:r>
      <w:proofErr w:type="gramStart"/>
      <w:r w:rsidRPr="005A0AB3">
        <w:t>added</w:t>
      </w:r>
      <w:proofErr w:type="gramEnd"/>
      <w:r w:rsidRPr="005A0AB3">
        <w:t xml:space="preserve"> to ensure completion of commissioning work.  [S] </w:t>
      </w:r>
    </w:p>
    <w:p w14:paraId="1264EBC6" w14:textId="619E5E40" w:rsidR="005A0AB3" w:rsidRPr="005A0AB3" w:rsidRDefault="005A0AB3" w:rsidP="005A0AB3">
      <w:pPr>
        <w:numPr>
          <w:ilvl w:val="0"/>
          <w:numId w:val="16"/>
        </w:numPr>
      </w:pPr>
      <w:r w:rsidRPr="005A0AB3">
        <w:rPr>
          <w:b/>
          <w:bCs/>
        </w:rPr>
        <w:t>C411.1 On-site renewable energy. </w:t>
      </w:r>
      <w:r w:rsidRPr="005A0AB3">
        <w:t xml:space="preserve"> Threshold for compliance is 5,000 sf [S]. The solar requirement is 0.5 W/sf [W]</w:t>
      </w:r>
      <w:r w:rsidR="00186428">
        <w:t>, with additional</w:t>
      </w:r>
      <w:r w:rsidRPr="005A0AB3">
        <w:t xml:space="preserve"> C406 credit system</w:t>
      </w:r>
      <w:r w:rsidR="00186428">
        <w:t xml:space="preserve">s allowed as an alternative </w:t>
      </w:r>
      <w:r w:rsidRPr="005A0AB3">
        <w:t xml:space="preserve">[S].  </w:t>
      </w:r>
      <w:r w:rsidR="00186428">
        <w:t>Affordable housing is exempt</w:t>
      </w:r>
      <w:r w:rsidR="00EA49DA">
        <w:t xml:space="preserve">, and other projects are permitted to gift their required solar to affordable housing </w:t>
      </w:r>
      <w:r w:rsidR="00186428">
        <w:t xml:space="preserve">[S]. </w:t>
      </w:r>
      <w:r w:rsidR="00525A2A">
        <w:t xml:space="preserve">Error </w:t>
      </w:r>
      <w:r w:rsidRPr="005A0AB3">
        <w:t xml:space="preserve">in 2021 WSEC Section C411.1.1 </w:t>
      </w:r>
      <w:r w:rsidR="00525A2A">
        <w:t>corrected</w:t>
      </w:r>
      <w:r w:rsidR="00525A2A" w:rsidRPr="005A0AB3">
        <w:t xml:space="preserve"> </w:t>
      </w:r>
      <w:r w:rsidRPr="005A0AB3">
        <w:t>[S].   </w:t>
      </w:r>
    </w:p>
    <w:p w14:paraId="44B5BA22" w14:textId="55FAD56C" w:rsidR="005A0AB3" w:rsidRPr="005A0AB3" w:rsidRDefault="005A0AB3" w:rsidP="005A0AB3">
      <w:pPr>
        <w:numPr>
          <w:ilvl w:val="0"/>
          <w:numId w:val="16"/>
        </w:numPr>
      </w:pPr>
      <w:r w:rsidRPr="005A0AB3">
        <w:rPr>
          <w:b/>
          <w:bCs/>
        </w:rPr>
        <w:t>C503.4.3.1 Addition of new or replacement of existing air-cooled chiller systems.</w:t>
      </w:r>
      <w:r w:rsidRPr="005A0AB3">
        <w:t xml:space="preserve"> Requires that </w:t>
      </w:r>
      <w:r w:rsidR="00667CC2">
        <w:t xml:space="preserve">air-cooled </w:t>
      </w:r>
      <w:r w:rsidRPr="005A0AB3">
        <w:t>chiller replacements be made with heat pumps</w:t>
      </w:r>
      <w:r w:rsidR="00667CC2">
        <w:t>,</w:t>
      </w:r>
      <w:r w:rsidRPr="005A0AB3">
        <w:t xml:space="preserve"> controlled to serve as the first stage of heating </w:t>
      </w:r>
      <w:r w:rsidR="00822B07">
        <w:t>[S].</w:t>
      </w:r>
    </w:p>
    <w:p w14:paraId="0AB294D4" w14:textId="5D14DD02" w:rsidR="005A0AB3" w:rsidRPr="005A0AB3" w:rsidRDefault="005A0AB3" w:rsidP="005A0AB3">
      <w:pPr>
        <w:numPr>
          <w:ilvl w:val="0"/>
          <w:numId w:val="16"/>
        </w:numPr>
      </w:pPr>
      <w:r w:rsidRPr="005A0AB3">
        <w:rPr>
          <w:b/>
          <w:bCs/>
        </w:rPr>
        <w:t>C503.4.6</w:t>
      </w:r>
      <w:r w:rsidRPr="005A0AB3">
        <w:t xml:space="preserve"> </w:t>
      </w:r>
      <w:r w:rsidR="00667CC2">
        <w:t>Provides several new compliance options</w:t>
      </w:r>
      <w:r w:rsidRPr="005A0AB3">
        <w:t xml:space="preserve"> for replacement of central HVAC gas and electric resistance heating equipment with heat pumps [S]:  </w:t>
      </w:r>
    </w:p>
    <w:p w14:paraId="3E355813" w14:textId="7A40EA67" w:rsidR="005A0AB3" w:rsidRPr="005A0AB3" w:rsidRDefault="005A0AB3" w:rsidP="00667CC2">
      <w:pPr>
        <w:numPr>
          <w:ilvl w:val="0"/>
          <w:numId w:val="17"/>
        </w:numPr>
      </w:pPr>
      <w:r w:rsidRPr="005A0AB3">
        <w:t>Exempt</w:t>
      </w:r>
      <w:r w:rsidR="00667CC2">
        <w:t>s</w:t>
      </w:r>
      <w:r w:rsidRPr="005A0AB3">
        <w:t xml:space="preserve"> affordable housing, hospitals, nonprofits, and buildings that would require </w:t>
      </w:r>
      <w:r w:rsidR="00667CC2">
        <w:t>certain costly</w:t>
      </w:r>
      <w:r w:rsidRPr="005A0AB3">
        <w:t> </w:t>
      </w:r>
      <w:r w:rsidR="00FA7CAF">
        <w:t>utility</w:t>
      </w:r>
      <w:r w:rsidRPr="005A0AB3">
        <w:t xml:space="preserve"> service upgrades.  </w:t>
      </w:r>
    </w:p>
    <w:p w14:paraId="1F80A593" w14:textId="276D7CF0" w:rsidR="005A0AB3" w:rsidRPr="005A0AB3" w:rsidRDefault="005A0AB3" w:rsidP="005A0AB3">
      <w:pPr>
        <w:numPr>
          <w:ilvl w:val="0"/>
          <w:numId w:val="17"/>
        </w:numPr>
      </w:pPr>
      <w:r w:rsidRPr="005A0AB3">
        <w:t>Allow</w:t>
      </w:r>
      <w:r w:rsidR="00FA7CAF">
        <w:t>s</w:t>
      </w:r>
      <w:r w:rsidRPr="005A0AB3">
        <w:t xml:space="preserve"> buildings to retain 50% of their existing gas heating capacity.  </w:t>
      </w:r>
    </w:p>
    <w:p w14:paraId="68FFE917" w14:textId="6B05BDD2" w:rsidR="005A0AB3" w:rsidRPr="005A0AB3" w:rsidRDefault="005A0AB3" w:rsidP="00667CC2">
      <w:pPr>
        <w:numPr>
          <w:ilvl w:val="0"/>
          <w:numId w:val="17"/>
        </w:numPr>
      </w:pPr>
      <w:r w:rsidRPr="005A0AB3">
        <w:t>Allow</w:t>
      </w:r>
      <w:r w:rsidR="00FA7CAF">
        <w:t>s</w:t>
      </w:r>
      <w:r w:rsidRPr="005A0AB3">
        <w:t xml:space="preserve"> emergency replacements of gas equipment, using either a TCO (temporary certificate of occupancy) or a performance bond that requires the heat pump installation within 4 years.  </w:t>
      </w:r>
    </w:p>
    <w:p w14:paraId="3C9E0EDE" w14:textId="66F89F57" w:rsidR="005A0AB3" w:rsidRPr="005A0AB3" w:rsidRDefault="00FA7CAF" w:rsidP="005A0AB3">
      <w:pPr>
        <w:numPr>
          <w:ilvl w:val="0"/>
          <w:numId w:val="17"/>
        </w:numPr>
      </w:pPr>
      <w:r>
        <w:t>Each</w:t>
      </w:r>
      <w:r w:rsidR="005A0AB3" w:rsidRPr="005A0AB3">
        <w:t xml:space="preserve"> of the above </w:t>
      </w:r>
      <w:r>
        <w:t>requires</w:t>
      </w:r>
      <w:r w:rsidR="005A0AB3" w:rsidRPr="005A0AB3">
        <w:t xml:space="preserve"> a “future decarbonization plan” that includes an engineered schematic design and cost estimate for future conversion to heat pumps.  </w:t>
      </w:r>
    </w:p>
    <w:p w14:paraId="16AD29A0" w14:textId="5EBB3BF0" w:rsidR="005A0AB3" w:rsidRPr="005A0AB3" w:rsidRDefault="005A0AB3" w:rsidP="005A0AB3">
      <w:pPr>
        <w:numPr>
          <w:ilvl w:val="0"/>
          <w:numId w:val="18"/>
        </w:numPr>
      </w:pPr>
      <w:r w:rsidRPr="005A0AB3">
        <w:rPr>
          <w:b/>
          <w:bCs/>
        </w:rPr>
        <w:t>C503.5.1.</w:t>
      </w:r>
      <w:r w:rsidRPr="005A0AB3">
        <w:t xml:space="preserve">  </w:t>
      </w:r>
      <w:r w:rsidR="0015652A">
        <w:t>New compliance options</w:t>
      </w:r>
      <w:r w:rsidRPr="005A0AB3">
        <w:t xml:space="preserve"> for replacement of gas and electric resistance heating equipment for central service water heating systems (</w:t>
      </w:r>
      <w:proofErr w:type="gramStart"/>
      <w:r w:rsidRPr="005A0AB3">
        <w:t>sim</w:t>
      </w:r>
      <w:r w:rsidR="0015652A">
        <w:t>ilar</w:t>
      </w:r>
      <w:r w:rsidRPr="005A0AB3">
        <w:t xml:space="preserve"> to</w:t>
      </w:r>
      <w:proofErr w:type="gramEnd"/>
      <w:r w:rsidRPr="005A0AB3">
        <w:t xml:space="preserve"> C503.4.6) [S]. </w:t>
      </w:r>
    </w:p>
    <w:p w14:paraId="0C22A3D6" w14:textId="77777777" w:rsidR="005A0AB3" w:rsidRPr="005A0AB3" w:rsidRDefault="005A0AB3" w:rsidP="005A0AB3">
      <w:r w:rsidRPr="005A0AB3">
        <w:t> </w:t>
      </w:r>
    </w:p>
    <w:p w14:paraId="2EA534D3" w14:textId="77777777" w:rsidR="00A531B4" w:rsidRDefault="00A531B4"/>
    <w:sectPr w:rsidR="00A53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205"/>
    <w:multiLevelType w:val="multilevel"/>
    <w:tmpl w:val="DB501D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114894"/>
    <w:multiLevelType w:val="multilevel"/>
    <w:tmpl w:val="1F56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4249F7"/>
    <w:multiLevelType w:val="multilevel"/>
    <w:tmpl w:val="BE4E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0B34C3"/>
    <w:multiLevelType w:val="multilevel"/>
    <w:tmpl w:val="C108F2F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 w15:restartNumberingAfterBreak="0">
    <w:nsid w:val="167701D5"/>
    <w:multiLevelType w:val="multilevel"/>
    <w:tmpl w:val="D68084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00A3D"/>
    <w:multiLevelType w:val="multilevel"/>
    <w:tmpl w:val="0B4C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2523A3"/>
    <w:multiLevelType w:val="multilevel"/>
    <w:tmpl w:val="994ED0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F13AB0"/>
    <w:multiLevelType w:val="multilevel"/>
    <w:tmpl w:val="58E0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C43390"/>
    <w:multiLevelType w:val="multilevel"/>
    <w:tmpl w:val="969434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307156"/>
    <w:multiLevelType w:val="multilevel"/>
    <w:tmpl w:val="A450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504C7"/>
    <w:multiLevelType w:val="multilevel"/>
    <w:tmpl w:val="0AEE96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5A578E"/>
    <w:multiLevelType w:val="multilevel"/>
    <w:tmpl w:val="7A3601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7A3F2C"/>
    <w:multiLevelType w:val="multilevel"/>
    <w:tmpl w:val="8394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F351DA"/>
    <w:multiLevelType w:val="multilevel"/>
    <w:tmpl w:val="DBC21C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B2372D"/>
    <w:multiLevelType w:val="multilevel"/>
    <w:tmpl w:val="E4BA7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180973"/>
    <w:multiLevelType w:val="multilevel"/>
    <w:tmpl w:val="56C2B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872B33"/>
    <w:multiLevelType w:val="multilevel"/>
    <w:tmpl w:val="0B668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65531C"/>
    <w:multiLevelType w:val="hybridMultilevel"/>
    <w:tmpl w:val="637C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25A10"/>
    <w:multiLevelType w:val="multilevel"/>
    <w:tmpl w:val="E7FA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7672900">
    <w:abstractNumId w:val="14"/>
  </w:num>
  <w:num w:numId="2" w16cid:durableId="756679641">
    <w:abstractNumId w:val="8"/>
  </w:num>
  <w:num w:numId="3" w16cid:durableId="1935438150">
    <w:abstractNumId w:val="13"/>
  </w:num>
  <w:num w:numId="4" w16cid:durableId="35744340">
    <w:abstractNumId w:val="10"/>
  </w:num>
  <w:num w:numId="5" w16cid:durableId="855004638">
    <w:abstractNumId w:val="11"/>
  </w:num>
  <w:num w:numId="6" w16cid:durableId="1213150076">
    <w:abstractNumId w:val="12"/>
  </w:num>
  <w:num w:numId="7" w16cid:durableId="903950741">
    <w:abstractNumId w:val="1"/>
  </w:num>
  <w:num w:numId="8" w16cid:durableId="181476728">
    <w:abstractNumId w:val="0"/>
  </w:num>
  <w:num w:numId="9" w16cid:durableId="1151823642">
    <w:abstractNumId w:val="7"/>
  </w:num>
  <w:num w:numId="10" w16cid:durableId="2004047264">
    <w:abstractNumId w:val="2"/>
  </w:num>
  <w:num w:numId="11" w16cid:durableId="676425004">
    <w:abstractNumId w:val="16"/>
  </w:num>
  <w:num w:numId="12" w16cid:durableId="40524036">
    <w:abstractNumId w:val="15"/>
  </w:num>
  <w:num w:numId="13" w16cid:durableId="599990963">
    <w:abstractNumId w:val="6"/>
  </w:num>
  <w:num w:numId="14" w16cid:durableId="322969549">
    <w:abstractNumId w:val="4"/>
  </w:num>
  <w:num w:numId="15" w16cid:durableId="1123229188">
    <w:abstractNumId w:val="5"/>
  </w:num>
  <w:num w:numId="16" w16cid:durableId="339240219">
    <w:abstractNumId w:val="9"/>
  </w:num>
  <w:num w:numId="17" w16cid:durableId="741686159">
    <w:abstractNumId w:val="3"/>
  </w:num>
  <w:num w:numId="18" w16cid:durableId="921792160">
    <w:abstractNumId w:val="18"/>
  </w:num>
  <w:num w:numId="19" w16cid:durableId="5984126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B3"/>
    <w:rsid w:val="00026404"/>
    <w:rsid w:val="000320C7"/>
    <w:rsid w:val="000D795C"/>
    <w:rsid w:val="000F707E"/>
    <w:rsid w:val="00117BD2"/>
    <w:rsid w:val="0015652A"/>
    <w:rsid w:val="00186428"/>
    <w:rsid w:val="001A5525"/>
    <w:rsid w:val="001B52C6"/>
    <w:rsid w:val="002309BB"/>
    <w:rsid w:val="00237A9D"/>
    <w:rsid w:val="0025047F"/>
    <w:rsid w:val="003E070E"/>
    <w:rsid w:val="00525A2A"/>
    <w:rsid w:val="00566007"/>
    <w:rsid w:val="005A0AB3"/>
    <w:rsid w:val="005C4A18"/>
    <w:rsid w:val="005F443E"/>
    <w:rsid w:val="006512F8"/>
    <w:rsid w:val="00667CC2"/>
    <w:rsid w:val="006C789A"/>
    <w:rsid w:val="007236EB"/>
    <w:rsid w:val="00795038"/>
    <w:rsid w:val="00822B07"/>
    <w:rsid w:val="008F6820"/>
    <w:rsid w:val="009F5F86"/>
    <w:rsid w:val="00A45771"/>
    <w:rsid w:val="00A531B4"/>
    <w:rsid w:val="00A54DB8"/>
    <w:rsid w:val="00A945B1"/>
    <w:rsid w:val="00AC237D"/>
    <w:rsid w:val="00B77381"/>
    <w:rsid w:val="00B939D1"/>
    <w:rsid w:val="00C219CF"/>
    <w:rsid w:val="00C70749"/>
    <w:rsid w:val="00C758F7"/>
    <w:rsid w:val="00D50157"/>
    <w:rsid w:val="00D72270"/>
    <w:rsid w:val="00DB734D"/>
    <w:rsid w:val="00E96E66"/>
    <w:rsid w:val="00EA49DA"/>
    <w:rsid w:val="00F006C2"/>
    <w:rsid w:val="00F721D8"/>
    <w:rsid w:val="00FA7CAF"/>
    <w:rsid w:val="00FF1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F679"/>
  <w15:chartTrackingRefBased/>
  <w15:docId w15:val="{E185F42E-D425-4C81-9E46-E96D2123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A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A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A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A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A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A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A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A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A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A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A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A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A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A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A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AB3"/>
    <w:rPr>
      <w:rFonts w:eastAsiaTheme="majorEastAsia" w:cstheme="majorBidi"/>
      <w:color w:val="272727" w:themeColor="text1" w:themeTint="D8"/>
    </w:rPr>
  </w:style>
  <w:style w:type="paragraph" w:styleId="Title">
    <w:name w:val="Title"/>
    <w:basedOn w:val="Normal"/>
    <w:next w:val="Normal"/>
    <w:link w:val="TitleChar"/>
    <w:uiPriority w:val="10"/>
    <w:qFormat/>
    <w:rsid w:val="005A0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A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A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A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AB3"/>
    <w:pPr>
      <w:spacing w:before="160"/>
      <w:jc w:val="center"/>
    </w:pPr>
    <w:rPr>
      <w:i/>
      <w:iCs/>
      <w:color w:val="404040" w:themeColor="text1" w:themeTint="BF"/>
    </w:rPr>
  </w:style>
  <w:style w:type="character" w:customStyle="1" w:styleId="QuoteChar">
    <w:name w:val="Quote Char"/>
    <w:basedOn w:val="DefaultParagraphFont"/>
    <w:link w:val="Quote"/>
    <w:uiPriority w:val="29"/>
    <w:rsid w:val="005A0AB3"/>
    <w:rPr>
      <w:i/>
      <w:iCs/>
      <w:color w:val="404040" w:themeColor="text1" w:themeTint="BF"/>
    </w:rPr>
  </w:style>
  <w:style w:type="paragraph" w:styleId="ListParagraph">
    <w:name w:val="List Paragraph"/>
    <w:basedOn w:val="Normal"/>
    <w:uiPriority w:val="34"/>
    <w:qFormat/>
    <w:rsid w:val="005A0AB3"/>
    <w:pPr>
      <w:ind w:left="720"/>
      <w:contextualSpacing/>
    </w:pPr>
  </w:style>
  <w:style w:type="character" w:styleId="IntenseEmphasis">
    <w:name w:val="Intense Emphasis"/>
    <w:basedOn w:val="DefaultParagraphFont"/>
    <w:uiPriority w:val="21"/>
    <w:qFormat/>
    <w:rsid w:val="005A0AB3"/>
    <w:rPr>
      <w:i/>
      <w:iCs/>
      <w:color w:val="0F4761" w:themeColor="accent1" w:themeShade="BF"/>
    </w:rPr>
  </w:style>
  <w:style w:type="paragraph" w:styleId="IntenseQuote">
    <w:name w:val="Intense Quote"/>
    <w:basedOn w:val="Normal"/>
    <w:next w:val="Normal"/>
    <w:link w:val="IntenseQuoteChar"/>
    <w:uiPriority w:val="30"/>
    <w:qFormat/>
    <w:rsid w:val="005A0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AB3"/>
    <w:rPr>
      <w:i/>
      <w:iCs/>
      <w:color w:val="0F4761" w:themeColor="accent1" w:themeShade="BF"/>
    </w:rPr>
  </w:style>
  <w:style w:type="character" w:styleId="IntenseReference">
    <w:name w:val="Intense Reference"/>
    <w:basedOn w:val="DefaultParagraphFont"/>
    <w:uiPriority w:val="32"/>
    <w:qFormat/>
    <w:rsid w:val="005A0AB3"/>
    <w:rPr>
      <w:b/>
      <w:bCs/>
      <w:smallCaps/>
      <w:color w:val="0F4761" w:themeColor="accent1" w:themeShade="BF"/>
      <w:spacing w:val="5"/>
    </w:rPr>
  </w:style>
  <w:style w:type="character" w:styleId="Hyperlink">
    <w:name w:val="Hyperlink"/>
    <w:basedOn w:val="DefaultParagraphFont"/>
    <w:uiPriority w:val="99"/>
    <w:unhideWhenUsed/>
    <w:rsid w:val="00C758F7"/>
    <w:rPr>
      <w:color w:val="467886" w:themeColor="hyperlink"/>
      <w:u w:val="single"/>
    </w:rPr>
  </w:style>
  <w:style w:type="character" w:styleId="UnresolvedMention">
    <w:name w:val="Unresolved Mention"/>
    <w:basedOn w:val="DefaultParagraphFont"/>
    <w:uiPriority w:val="99"/>
    <w:semiHidden/>
    <w:unhideWhenUsed/>
    <w:rsid w:val="00C75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87157">
      <w:bodyDiv w:val="1"/>
      <w:marLeft w:val="0"/>
      <w:marRight w:val="0"/>
      <w:marTop w:val="0"/>
      <w:marBottom w:val="0"/>
      <w:divBdr>
        <w:top w:val="none" w:sz="0" w:space="0" w:color="auto"/>
        <w:left w:val="none" w:sz="0" w:space="0" w:color="auto"/>
        <w:bottom w:val="none" w:sz="0" w:space="0" w:color="auto"/>
        <w:right w:val="none" w:sz="0" w:space="0" w:color="auto"/>
      </w:divBdr>
      <w:divsChild>
        <w:div w:id="861942938">
          <w:marLeft w:val="0"/>
          <w:marRight w:val="0"/>
          <w:marTop w:val="0"/>
          <w:marBottom w:val="0"/>
          <w:divBdr>
            <w:top w:val="none" w:sz="0" w:space="0" w:color="auto"/>
            <w:left w:val="none" w:sz="0" w:space="0" w:color="auto"/>
            <w:bottom w:val="none" w:sz="0" w:space="0" w:color="auto"/>
            <w:right w:val="none" w:sz="0" w:space="0" w:color="auto"/>
          </w:divBdr>
          <w:divsChild>
            <w:div w:id="497966965">
              <w:marLeft w:val="0"/>
              <w:marRight w:val="0"/>
              <w:marTop w:val="0"/>
              <w:marBottom w:val="0"/>
              <w:divBdr>
                <w:top w:val="none" w:sz="0" w:space="0" w:color="auto"/>
                <w:left w:val="none" w:sz="0" w:space="0" w:color="auto"/>
                <w:bottom w:val="none" w:sz="0" w:space="0" w:color="auto"/>
                <w:right w:val="none" w:sz="0" w:space="0" w:color="auto"/>
              </w:divBdr>
            </w:div>
            <w:div w:id="5836311">
              <w:marLeft w:val="0"/>
              <w:marRight w:val="0"/>
              <w:marTop w:val="0"/>
              <w:marBottom w:val="0"/>
              <w:divBdr>
                <w:top w:val="none" w:sz="0" w:space="0" w:color="auto"/>
                <w:left w:val="none" w:sz="0" w:space="0" w:color="auto"/>
                <w:bottom w:val="none" w:sz="0" w:space="0" w:color="auto"/>
                <w:right w:val="none" w:sz="0" w:space="0" w:color="auto"/>
              </w:divBdr>
            </w:div>
            <w:div w:id="1549147983">
              <w:marLeft w:val="0"/>
              <w:marRight w:val="0"/>
              <w:marTop w:val="0"/>
              <w:marBottom w:val="0"/>
              <w:divBdr>
                <w:top w:val="none" w:sz="0" w:space="0" w:color="auto"/>
                <w:left w:val="none" w:sz="0" w:space="0" w:color="auto"/>
                <w:bottom w:val="none" w:sz="0" w:space="0" w:color="auto"/>
                <w:right w:val="none" w:sz="0" w:space="0" w:color="auto"/>
              </w:divBdr>
            </w:div>
            <w:div w:id="630937360">
              <w:marLeft w:val="0"/>
              <w:marRight w:val="0"/>
              <w:marTop w:val="0"/>
              <w:marBottom w:val="0"/>
              <w:divBdr>
                <w:top w:val="none" w:sz="0" w:space="0" w:color="auto"/>
                <w:left w:val="none" w:sz="0" w:space="0" w:color="auto"/>
                <w:bottom w:val="none" w:sz="0" w:space="0" w:color="auto"/>
                <w:right w:val="none" w:sz="0" w:space="0" w:color="auto"/>
              </w:divBdr>
            </w:div>
            <w:div w:id="678699939">
              <w:marLeft w:val="0"/>
              <w:marRight w:val="0"/>
              <w:marTop w:val="0"/>
              <w:marBottom w:val="0"/>
              <w:divBdr>
                <w:top w:val="none" w:sz="0" w:space="0" w:color="auto"/>
                <w:left w:val="none" w:sz="0" w:space="0" w:color="auto"/>
                <w:bottom w:val="none" w:sz="0" w:space="0" w:color="auto"/>
                <w:right w:val="none" w:sz="0" w:space="0" w:color="auto"/>
              </w:divBdr>
            </w:div>
            <w:div w:id="1671715098">
              <w:marLeft w:val="0"/>
              <w:marRight w:val="0"/>
              <w:marTop w:val="0"/>
              <w:marBottom w:val="0"/>
              <w:divBdr>
                <w:top w:val="none" w:sz="0" w:space="0" w:color="auto"/>
                <w:left w:val="none" w:sz="0" w:space="0" w:color="auto"/>
                <w:bottom w:val="none" w:sz="0" w:space="0" w:color="auto"/>
                <w:right w:val="none" w:sz="0" w:space="0" w:color="auto"/>
              </w:divBdr>
            </w:div>
            <w:div w:id="1731348855">
              <w:marLeft w:val="0"/>
              <w:marRight w:val="0"/>
              <w:marTop w:val="0"/>
              <w:marBottom w:val="0"/>
              <w:divBdr>
                <w:top w:val="none" w:sz="0" w:space="0" w:color="auto"/>
                <w:left w:val="none" w:sz="0" w:space="0" w:color="auto"/>
                <w:bottom w:val="none" w:sz="0" w:space="0" w:color="auto"/>
                <w:right w:val="none" w:sz="0" w:space="0" w:color="auto"/>
              </w:divBdr>
            </w:div>
            <w:div w:id="69474935">
              <w:marLeft w:val="0"/>
              <w:marRight w:val="0"/>
              <w:marTop w:val="0"/>
              <w:marBottom w:val="0"/>
              <w:divBdr>
                <w:top w:val="none" w:sz="0" w:space="0" w:color="auto"/>
                <w:left w:val="none" w:sz="0" w:space="0" w:color="auto"/>
                <w:bottom w:val="none" w:sz="0" w:space="0" w:color="auto"/>
                <w:right w:val="none" w:sz="0" w:space="0" w:color="auto"/>
              </w:divBdr>
            </w:div>
            <w:div w:id="1215700061">
              <w:marLeft w:val="0"/>
              <w:marRight w:val="0"/>
              <w:marTop w:val="0"/>
              <w:marBottom w:val="0"/>
              <w:divBdr>
                <w:top w:val="none" w:sz="0" w:space="0" w:color="auto"/>
                <w:left w:val="none" w:sz="0" w:space="0" w:color="auto"/>
                <w:bottom w:val="none" w:sz="0" w:space="0" w:color="auto"/>
                <w:right w:val="none" w:sz="0" w:space="0" w:color="auto"/>
              </w:divBdr>
            </w:div>
            <w:div w:id="538517343">
              <w:marLeft w:val="0"/>
              <w:marRight w:val="0"/>
              <w:marTop w:val="0"/>
              <w:marBottom w:val="0"/>
              <w:divBdr>
                <w:top w:val="none" w:sz="0" w:space="0" w:color="auto"/>
                <w:left w:val="none" w:sz="0" w:space="0" w:color="auto"/>
                <w:bottom w:val="none" w:sz="0" w:space="0" w:color="auto"/>
                <w:right w:val="none" w:sz="0" w:space="0" w:color="auto"/>
              </w:divBdr>
            </w:div>
            <w:div w:id="2017413994">
              <w:marLeft w:val="0"/>
              <w:marRight w:val="0"/>
              <w:marTop w:val="0"/>
              <w:marBottom w:val="0"/>
              <w:divBdr>
                <w:top w:val="none" w:sz="0" w:space="0" w:color="auto"/>
                <w:left w:val="none" w:sz="0" w:space="0" w:color="auto"/>
                <w:bottom w:val="none" w:sz="0" w:space="0" w:color="auto"/>
                <w:right w:val="none" w:sz="0" w:space="0" w:color="auto"/>
              </w:divBdr>
            </w:div>
          </w:divsChild>
        </w:div>
        <w:div w:id="1760177062">
          <w:marLeft w:val="0"/>
          <w:marRight w:val="0"/>
          <w:marTop w:val="0"/>
          <w:marBottom w:val="0"/>
          <w:divBdr>
            <w:top w:val="none" w:sz="0" w:space="0" w:color="auto"/>
            <w:left w:val="none" w:sz="0" w:space="0" w:color="auto"/>
            <w:bottom w:val="none" w:sz="0" w:space="0" w:color="auto"/>
            <w:right w:val="none" w:sz="0" w:space="0" w:color="auto"/>
          </w:divBdr>
          <w:divsChild>
            <w:div w:id="668411220">
              <w:marLeft w:val="0"/>
              <w:marRight w:val="0"/>
              <w:marTop w:val="0"/>
              <w:marBottom w:val="0"/>
              <w:divBdr>
                <w:top w:val="none" w:sz="0" w:space="0" w:color="auto"/>
                <w:left w:val="none" w:sz="0" w:space="0" w:color="auto"/>
                <w:bottom w:val="none" w:sz="0" w:space="0" w:color="auto"/>
                <w:right w:val="none" w:sz="0" w:space="0" w:color="auto"/>
              </w:divBdr>
            </w:div>
            <w:div w:id="465972831">
              <w:marLeft w:val="0"/>
              <w:marRight w:val="0"/>
              <w:marTop w:val="0"/>
              <w:marBottom w:val="0"/>
              <w:divBdr>
                <w:top w:val="none" w:sz="0" w:space="0" w:color="auto"/>
                <w:left w:val="none" w:sz="0" w:space="0" w:color="auto"/>
                <w:bottom w:val="none" w:sz="0" w:space="0" w:color="auto"/>
                <w:right w:val="none" w:sz="0" w:space="0" w:color="auto"/>
              </w:divBdr>
            </w:div>
            <w:div w:id="1217661878">
              <w:marLeft w:val="0"/>
              <w:marRight w:val="0"/>
              <w:marTop w:val="0"/>
              <w:marBottom w:val="0"/>
              <w:divBdr>
                <w:top w:val="none" w:sz="0" w:space="0" w:color="auto"/>
                <w:left w:val="none" w:sz="0" w:space="0" w:color="auto"/>
                <w:bottom w:val="none" w:sz="0" w:space="0" w:color="auto"/>
                <w:right w:val="none" w:sz="0" w:space="0" w:color="auto"/>
              </w:divBdr>
            </w:div>
            <w:div w:id="13466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2049">
      <w:bodyDiv w:val="1"/>
      <w:marLeft w:val="0"/>
      <w:marRight w:val="0"/>
      <w:marTop w:val="0"/>
      <w:marBottom w:val="0"/>
      <w:divBdr>
        <w:top w:val="none" w:sz="0" w:space="0" w:color="auto"/>
        <w:left w:val="none" w:sz="0" w:space="0" w:color="auto"/>
        <w:bottom w:val="none" w:sz="0" w:space="0" w:color="auto"/>
        <w:right w:val="none" w:sz="0" w:space="0" w:color="auto"/>
      </w:divBdr>
      <w:divsChild>
        <w:div w:id="358628637">
          <w:marLeft w:val="0"/>
          <w:marRight w:val="0"/>
          <w:marTop w:val="0"/>
          <w:marBottom w:val="0"/>
          <w:divBdr>
            <w:top w:val="none" w:sz="0" w:space="0" w:color="auto"/>
            <w:left w:val="none" w:sz="0" w:space="0" w:color="auto"/>
            <w:bottom w:val="none" w:sz="0" w:space="0" w:color="auto"/>
            <w:right w:val="none" w:sz="0" w:space="0" w:color="auto"/>
          </w:divBdr>
          <w:divsChild>
            <w:div w:id="532428520">
              <w:marLeft w:val="0"/>
              <w:marRight w:val="0"/>
              <w:marTop w:val="0"/>
              <w:marBottom w:val="0"/>
              <w:divBdr>
                <w:top w:val="none" w:sz="0" w:space="0" w:color="auto"/>
                <w:left w:val="none" w:sz="0" w:space="0" w:color="auto"/>
                <w:bottom w:val="none" w:sz="0" w:space="0" w:color="auto"/>
                <w:right w:val="none" w:sz="0" w:space="0" w:color="auto"/>
              </w:divBdr>
            </w:div>
            <w:div w:id="823202920">
              <w:marLeft w:val="0"/>
              <w:marRight w:val="0"/>
              <w:marTop w:val="0"/>
              <w:marBottom w:val="0"/>
              <w:divBdr>
                <w:top w:val="none" w:sz="0" w:space="0" w:color="auto"/>
                <w:left w:val="none" w:sz="0" w:space="0" w:color="auto"/>
                <w:bottom w:val="none" w:sz="0" w:space="0" w:color="auto"/>
                <w:right w:val="none" w:sz="0" w:space="0" w:color="auto"/>
              </w:divBdr>
            </w:div>
            <w:div w:id="1977253075">
              <w:marLeft w:val="0"/>
              <w:marRight w:val="0"/>
              <w:marTop w:val="0"/>
              <w:marBottom w:val="0"/>
              <w:divBdr>
                <w:top w:val="none" w:sz="0" w:space="0" w:color="auto"/>
                <w:left w:val="none" w:sz="0" w:space="0" w:color="auto"/>
                <w:bottom w:val="none" w:sz="0" w:space="0" w:color="auto"/>
                <w:right w:val="none" w:sz="0" w:space="0" w:color="auto"/>
              </w:divBdr>
            </w:div>
            <w:div w:id="1095370413">
              <w:marLeft w:val="0"/>
              <w:marRight w:val="0"/>
              <w:marTop w:val="0"/>
              <w:marBottom w:val="0"/>
              <w:divBdr>
                <w:top w:val="none" w:sz="0" w:space="0" w:color="auto"/>
                <w:left w:val="none" w:sz="0" w:space="0" w:color="auto"/>
                <w:bottom w:val="none" w:sz="0" w:space="0" w:color="auto"/>
                <w:right w:val="none" w:sz="0" w:space="0" w:color="auto"/>
              </w:divBdr>
            </w:div>
            <w:div w:id="1813250933">
              <w:marLeft w:val="0"/>
              <w:marRight w:val="0"/>
              <w:marTop w:val="0"/>
              <w:marBottom w:val="0"/>
              <w:divBdr>
                <w:top w:val="none" w:sz="0" w:space="0" w:color="auto"/>
                <w:left w:val="none" w:sz="0" w:space="0" w:color="auto"/>
                <w:bottom w:val="none" w:sz="0" w:space="0" w:color="auto"/>
                <w:right w:val="none" w:sz="0" w:space="0" w:color="auto"/>
              </w:divBdr>
            </w:div>
            <w:div w:id="1010595699">
              <w:marLeft w:val="0"/>
              <w:marRight w:val="0"/>
              <w:marTop w:val="0"/>
              <w:marBottom w:val="0"/>
              <w:divBdr>
                <w:top w:val="none" w:sz="0" w:space="0" w:color="auto"/>
                <w:left w:val="none" w:sz="0" w:space="0" w:color="auto"/>
                <w:bottom w:val="none" w:sz="0" w:space="0" w:color="auto"/>
                <w:right w:val="none" w:sz="0" w:space="0" w:color="auto"/>
              </w:divBdr>
            </w:div>
            <w:div w:id="792821211">
              <w:marLeft w:val="0"/>
              <w:marRight w:val="0"/>
              <w:marTop w:val="0"/>
              <w:marBottom w:val="0"/>
              <w:divBdr>
                <w:top w:val="none" w:sz="0" w:space="0" w:color="auto"/>
                <w:left w:val="none" w:sz="0" w:space="0" w:color="auto"/>
                <w:bottom w:val="none" w:sz="0" w:space="0" w:color="auto"/>
                <w:right w:val="none" w:sz="0" w:space="0" w:color="auto"/>
              </w:divBdr>
            </w:div>
            <w:div w:id="1675643443">
              <w:marLeft w:val="0"/>
              <w:marRight w:val="0"/>
              <w:marTop w:val="0"/>
              <w:marBottom w:val="0"/>
              <w:divBdr>
                <w:top w:val="none" w:sz="0" w:space="0" w:color="auto"/>
                <w:left w:val="none" w:sz="0" w:space="0" w:color="auto"/>
                <w:bottom w:val="none" w:sz="0" w:space="0" w:color="auto"/>
                <w:right w:val="none" w:sz="0" w:space="0" w:color="auto"/>
              </w:divBdr>
            </w:div>
            <w:div w:id="665743517">
              <w:marLeft w:val="0"/>
              <w:marRight w:val="0"/>
              <w:marTop w:val="0"/>
              <w:marBottom w:val="0"/>
              <w:divBdr>
                <w:top w:val="none" w:sz="0" w:space="0" w:color="auto"/>
                <w:left w:val="none" w:sz="0" w:space="0" w:color="auto"/>
                <w:bottom w:val="none" w:sz="0" w:space="0" w:color="auto"/>
                <w:right w:val="none" w:sz="0" w:space="0" w:color="auto"/>
              </w:divBdr>
            </w:div>
            <w:div w:id="1816338952">
              <w:marLeft w:val="0"/>
              <w:marRight w:val="0"/>
              <w:marTop w:val="0"/>
              <w:marBottom w:val="0"/>
              <w:divBdr>
                <w:top w:val="none" w:sz="0" w:space="0" w:color="auto"/>
                <w:left w:val="none" w:sz="0" w:space="0" w:color="auto"/>
                <w:bottom w:val="none" w:sz="0" w:space="0" w:color="auto"/>
                <w:right w:val="none" w:sz="0" w:space="0" w:color="auto"/>
              </w:divBdr>
            </w:div>
            <w:div w:id="1052195624">
              <w:marLeft w:val="0"/>
              <w:marRight w:val="0"/>
              <w:marTop w:val="0"/>
              <w:marBottom w:val="0"/>
              <w:divBdr>
                <w:top w:val="none" w:sz="0" w:space="0" w:color="auto"/>
                <w:left w:val="none" w:sz="0" w:space="0" w:color="auto"/>
                <w:bottom w:val="none" w:sz="0" w:space="0" w:color="auto"/>
                <w:right w:val="none" w:sz="0" w:space="0" w:color="auto"/>
              </w:divBdr>
            </w:div>
          </w:divsChild>
        </w:div>
        <w:div w:id="1850680114">
          <w:marLeft w:val="0"/>
          <w:marRight w:val="0"/>
          <w:marTop w:val="0"/>
          <w:marBottom w:val="0"/>
          <w:divBdr>
            <w:top w:val="none" w:sz="0" w:space="0" w:color="auto"/>
            <w:left w:val="none" w:sz="0" w:space="0" w:color="auto"/>
            <w:bottom w:val="none" w:sz="0" w:space="0" w:color="auto"/>
            <w:right w:val="none" w:sz="0" w:space="0" w:color="auto"/>
          </w:divBdr>
          <w:divsChild>
            <w:div w:id="422842706">
              <w:marLeft w:val="0"/>
              <w:marRight w:val="0"/>
              <w:marTop w:val="0"/>
              <w:marBottom w:val="0"/>
              <w:divBdr>
                <w:top w:val="none" w:sz="0" w:space="0" w:color="auto"/>
                <w:left w:val="none" w:sz="0" w:space="0" w:color="auto"/>
                <w:bottom w:val="none" w:sz="0" w:space="0" w:color="auto"/>
                <w:right w:val="none" w:sz="0" w:space="0" w:color="auto"/>
              </w:divBdr>
            </w:div>
            <w:div w:id="587156986">
              <w:marLeft w:val="0"/>
              <w:marRight w:val="0"/>
              <w:marTop w:val="0"/>
              <w:marBottom w:val="0"/>
              <w:divBdr>
                <w:top w:val="none" w:sz="0" w:space="0" w:color="auto"/>
                <w:left w:val="none" w:sz="0" w:space="0" w:color="auto"/>
                <w:bottom w:val="none" w:sz="0" w:space="0" w:color="auto"/>
                <w:right w:val="none" w:sz="0" w:space="0" w:color="auto"/>
              </w:divBdr>
            </w:div>
            <w:div w:id="916402124">
              <w:marLeft w:val="0"/>
              <w:marRight w:val="0"/>
              <w:marTop w:val="0"/>
              <w:marBottom w:val="0"/>
              <w:divBdr>
                <w:top w:val="none" w:sz="0" w:space="0" w:color="auto"/>
                <w:left w:val="none" w:sz="0" w:space="0" w:color="auto"/>
                <w:bottom w:val="none" w:sz="0" w:space="0" w:color="auto"/>
                <w:right w:val="none" w:sz="0" w:space="0" w:color="auto"/>
              </w:divBdr>
            </w:div>
            <w:div w:id="9279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5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8324">
          <w:marLeft w:val="0"/>
          <w:marRight w:val="0"/>
          <w:marTop w:val="0"/>
          <w:marBottom w:val="0"/>
          <w:divBdr>
            <w:top w:val="none" w:sz="0" w:space="0" w:color="auto"/>
            <w:left w:val="none" w:sz="0" w:space="0" w:color="auto"/>
            <w:bottom w:val="none" w:sz="0" w:space="0" w:color="auto"/>
            <w:right w:val="none" w:sz="0" w:space="0" w:color="auto"/>
          </w:divBdr>
          <w:divsChild>
            <w:div w:id="1373925199">
              <w:marLeft w:val="0"/>
              <w:marRight w:val="0"/>
              <w:marTop w:val="0"/>
              <w:marBottom w:val="0"/>
              <w:divBdr>
                <w:top w:val="none" w:sz="0" w:space="0" w:color="auto"/>
                <w:left w:val="none" w:sz="0" w:space="0" w:color="auto"/>
                <w:bottom w:val="none" w:sz="0" w:space="0" w:color="auto"/>
                <w:right w:val="none" w:sz="0" w:space="0" w:color="auto"/>
              </w:divBdr>
            </w:div>
            <w:div w:id="2032411554">
              <w:marLeft w:val="0"/>
              <w:marRight w:val="0"/>
              <w:marTop w:val="0"/>
              <w:marBottom w:val="0"/>
              <w:divBdr>
                <w:top w:val="none" w:sz="0" w:space="0" w:color="auto"/>
                <w:left w:val="none" w:sz="0" w:space="0" w:color="auto"/>
                <w:bottom w:val="none" w:sz="0" w:space="0" w:color="auto"/>
                <w:right w:val="none" w:sz="0" w:space="0" w:color="auto"/>
              </w:divBdr>
            </w:div>
            <w:div w:id="1196623467">
              <w:marLeft w:val="0"/>
              <w:marRight w:val="0"/>
              <w:marTop w:val="0"/>
              <w:marBottom w:val="0"/>
              <w:divBdr>
                <w:top w:val="none" w:sz="0" w:space="0" w:color="auto"/>
                <w:left w:val="none" w:sz="0" w:space="0" w:color="auto"/>
                <w:bottom w:val="none" w:sz="0" w:space="0" w:color="auto"/>
                <w:right w:val="none" w:sz="0" w:space="0" w:color="auto"/>
              </w:divBdr>
            </w:div>
            <w:div w:id="1803884890">
              <w:marLeft w:val="0"/>
              <w:marRight w:val="0"/>
              <w:marTop w:val="0"/>
              <w:marBottom w:val="0"/>
              <w:divBdr>
                <w:top w:val="none" w:sz="0" w:space="0" w:color="auto"/>
                <w:left w:val="none" w:sz="0" w:space="0" w:color="auto"/>
                <w:bottom w:val="none" w:sz="0" w:space="0" w:color="auto"/>
                <w:right w:val="none" w:sz="0" w:space="0" w:color="auto"/>
              </w:divBdr>
            </w:div>
            <w:div w:id="1586576246">
              <w:marLeft w:val="0"/>
              <w:marRight w:val="0"/>
              <w:marTop w:val="0"/>
              <w:marBottom w:val="0"/>
              <w:divBdr>
                <w:top w:val="none" w:sz="0" w:space="0" w:color="auto"/>
                <w:left w:val="none" w:sz="0" w:space="0" w:color="auto"/>
                <w:bottom w:val="none" w:sz="0" w:space="0" w:color="auto"/>
                <w:right w:val="none" w:sz="0" w:space="0" w:color="auto"/>
              </w:divBdr>
            </w:div>
            <w:div w:id="1558130111">
              <w:marLeft w:val="0"/>
              <w:marRight w:val="0"/>
              <w:marTop w:val="0"/>
              <w:marBottom w:val="0"/>
              <w:divBdr>
                <w:top w:val="none" w:sz="0" w:space="0" w:color="auto"/>
                <w:left w:val="none" w:sz="0" w:space="0" w:color="auto"/>
                <w:bottom w:val="none" w:sz="0" w:space="0" w:color="auto"/>
                <w:right w:val="none" w:sz="0" w:space="0" w:color="auto"/>
              </w:divBdr>
            </w:div>
            <w:div w:id="478495404">
              <w:marLeft w:val="0"/>
              <w:marRight w:val="0"/>
              <w:marTop w:val="0"/>
              <w:marBottom w:val="0"/>
              <w:divBdr>
                <w:top w:val="none" w:sz="0" w:space="0" w:color="auto"/>
                <w:left w:val="none" w:sz="0" w:space="0" w:color="auto"/>
                <w:bottom w:val="none" w:sz="0" w:space="0" w:color="auto"/>
                <w:right w:val="none" w:sz="0" w:space="0" w:color="auto"/>
              </w:divBdr>
            </w:div>
            <w:div w:id="1423145253">
              <w:marLeft w:val="0"/>
              <w:marRight w:val="0"/>
              <w:marTop w:val="0"/>
              <w:marBottom w:val="0"/>
              <w:divBdr>
                <w:top w:val="none" w:sz="0" w:space="0" w:color="auto"/>
                <w:left w:val="none" w:sz="0" w:space="0" w:color="auto"/>
                <w:bottom w:val="none" w:sz="0" w:space="0" w:color="auto"/>
                <w:right w:val="none" w:sz="0" w:space="0" w:color="auto"/>
              </w:divBdr>
            </w:div>
            <w:div w:id="910699504">
              <w:marLeft w:val="0"/>
              <w:marRight w:val="0"/>
              <w:marTop w:val="0"/>
              <w:marBottom w:val="0"/>
              <w:divBdr>
                <w:top w:val="none" w:sz="0" w:space="0" w:color="auto"/>
                <w:left w:val="none" w:sz="0" w:space="0" w:color="auto"/>
                <w:bottom w:val="none" w:sz="0" w:space="0" w:color="auto"/>
                <w:right w:val="none" w:sz="0" w:space="0" w:color="auto"/>
              </w:divBdr>
            </w:div>
            <w:div w:id="925653470">
              <w:marLeft w:val="0"/>
              <w:marRight w:val="0"/>
              <w:marTop w:val="0"/>
              <w:marBottom w:val="0"/>
              <w:divBdr>
                <w:top w:val="none" w:sz="0" w:space="0" w:color="auto"/>
                <w:left w:val="none" w:sz="0" w:space="0" w:color="auto"/>
                <w:bottom w:val="none" w:sz="0" w:space="0" w:color="auto"/>
                <w:right w:val="none" w:sz="0" w:space="0" w:color="auto"/>
              </w:divBdr>
            </w:div>
            <w:div w:id="1394815102">
              <w:marLeft w:val="0"/>
              <w:marRight w:val="0"/>
              <w:marTop w:val="0"/>
              <w:marBottom w:val="0"/>
              <w:divBdr>
                <w:top w:val="none" w:sz="0" w:space="0" w:color="auto"/>
                <w:left w:val="none" w:sz="0" w:space="0" w:color="auto"/>
                <w:bottom w:val="none" w:sz="0" w:space="0" w:color="auto"/>
                <w:right w:val="none" w:sz="0" w:space="0" w:color="auto"/>
              </w:divBdr>
            </w:div>
          </w:divsChild>
        </w:div>
        <w:div w:id="1434014100">
          <w:marLeft w:val="0"/>
          <w:marRight w:val="0"/>
          <w:marTop w:val="0"/>
          <w:marBottom w:val="0"/>
          <w:divBdr>
            <w:top w:val="none" w:sz="0" w:space="0" w:color="auto"/>
            <w:left w:val="none" w:sz="0" w:space="0" w:color="auto"/>
            <w:bottom w:val="none" w:sz="0" w:space="0" w:color="auto"/>
            <w:right w:val="none" w:sz="0" w:space="0" w:color="auto"/>
          </w:divBdr>
          <w:divsChild>
            <w:div w:id="1517231566">
              <w:marLeft w:val="0"/>
              <w:marRight w:val="0"/>
              <w:marTop w:val="0"/>
              <w:marBottom w:val="0"/>
              <w:divBdr>
                <w:top w:val="none" w:sz="0" w:space="0" w:color="auto"/>
                <w:left w:val="none" w:sz="0" w:space="0" w:color="auto"/>
                <w:bottom w:val="none" w:sz="0" w:space="0" w:color="auto"/>
                <w:right w:val="none" w:sz="0" w:space="0" w:color="auto"/>
              </w:divBdr>
            </w:div>
            <w:div w:id="984164829">
              <w:marLeft w:val="0"/>
              <w:marRight w:val="0"/>
              <w:marTop w:val="0"/>
              <w:marBottom w:val="0"/>
              <w:divBdr>
                <w:top w:val="none" w:sz="0" w:space="0" w:color="auto"/>
                <w:left w:val="none" w:sz="0" w:space="0" w:color="auto"/>
                <w:bottom w:val="none" w:sz="0" w:space="0" w:color="auto"/>
                <w:right w:val="none" w:sz="0" w:space="0" w:color="auto"/>
              </w:divBdr>
            </w:div>
            <w:div w:id="2106920582">
              <w:marLeft w:val="0"/>
              <w:marRight w:val="0"/>
              <w:marTop w:val="0"/>
              <w:marBottom w:val="0"/>
              <w:divBdr>
                <w:top w:val="none" w:sz="0" w:space="0" w:color="auto"/>
                <w:left w:val="none" w:sz="0" w:space="0" w:color="auto"/>
                <w:bottom w:val="none" w:sz="0" w:space="0" w:color="auto"/>
                <w:right w:val="none" w:sz="0" w:space="0" w:color="auto"/>
              </w:divBdr>
            </w:div>
            <w:div w:id="6353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9238">
      <w:bodyDiv w:val="1"/>
      <w:marLeft w:val="0"/>
      <w:marRight w:val="0"/>
      <w:marTop w:val="0"/>
      <w:marBottom w:val="0"/>
      <w:divBdr>
        <w:top w:val="none" w:sz="0" w:space="0" w:color="auto"/>
        <w:left w:val="none" w:sz="0" w:space="0" w:color="auto"/>
        <w:bottom w:val="none" w:sz="0" w:space="0" w:color="auto"/>
        <w:right w:val="none" w:sz="0" w:space="0" w:color="auto"/>
      </w:divBdr>
      <w:divsChild>
        <w:div w:id="1539506221">
          <w:marLeft w:val="0"/>
          <w:marRight w:val="0"/>
          <w:marTop w:val="0"/>
          <w:marBottom w:val="0"/>
          <w:divBdr>
            <w:top w:val="none" w:sz="0" w:space="0" w:color="auto"/>
            <w:left w:val="none" w:sz="0" w:space="0" w:color="auto"/>
            <w:bottom w:val="none" w:sz="0" w:space="0" w:color="auto"/>
            <w:right w:val="none" w:sz="0" w:space="0" w:color="auto"/>
          </w:divBdr>
          <w:divsChild>
            <w:div w:id="526330444">
              <w:marLeft w:val="0"/>
              <w:marRight w:val="0"/>
              <w:marTop w:val="0"/>
              <w:marBottom w:val="0"/>
              <w:divBdr>
                <w:top w:val="none" w:sz="0" w:space="0" w:color="auto"/>
                <w:left w:val="none" w:sz="0" w:space="0" w:color="auto"/>
                <w:bottom w:val="none" w:sz="0" w:space="0" w:color="auto"/>
                <w:right w:val="none" w:sz="0" w:space="0" w:color="auto"/>
              </w:divBdr>
            </w:div>
            <w:div w:id="1487240596">
              <w:marLeft w:val="0"/>
              <w:marRight w:val="0"/>
              <w:marTop w:val="0"/>
              <w:marBottom w:val="0"/>
              <w:divBdr>
                <w:top w:val="none" w:sz="0" w:space="0" w:color="auto"/>
                <w:left w:val="none" w:sz="0" w:space="0" w:color="auto"/>
                <w:bottom w:val="none" w:sz="0" w:space="0" w:color="auto"/>
                <w:right w:val="none" w:sz="0" w:space="0" w:color="auto"/>
              </w:divBdr>
            </w:div>
            <w:div w:id="1127041062">
              <w:marLeft w:val="0"/>
              <w:marRight w:val="0"/>
              <w:marTop w:val="0"/>
              <w:marBottom w:val="0"/>
              <w:divBdr>
                <w:top w:val="none" w:sz="0" w:space="0" w:color="auto"/>
                <w:left w:val="none" w:sz="0" w:space="0" w:color="auto"/>
                <w:bottom w:val="none" w:sz="0" w:space="0" w:color="auto"/>
                <w:right w:val="none" w:sz="0" w:space="0" w:color="auto"/>
              </w:divBdr>
            </w:div>
            <w:div w:id="795489335">
              <w:marLeft w:val="0"/>
              <w:marRight w:val="0"/>
              <w:marTop w:val="0"/>
              <w:marBottom w:val="0"/>
              <w:divBdr>
                <w:top w:val="none" w:sz="0" w:space="0" w:color="auto"/>
                <w:left w:val="none" w:sz="0" w:space="0" w:color="auto"/>
                <w:bottom w:val="none" w:sz="0" w:space="0" w:color="auto"/>
                <w:right w:val="none" w:sz="0" w:space="0" w:color="auto"/>
              </w:divBdr>
            </w:div>
            <w:div w:id="1426725234">
              <w:marLeft w:val="0"/>
              <w:marRight w:val="0"/>
              <w:marTop w:val="0"/>
              <w:marBottom w:val="0"/>
              <w:divBdr>
                <w:top w:val="none" w:sz="0" w:space="0" w:color="auto"/>
                <w:left w:val="none" w:sz="0" w:space="0" w:color="auto"/>
                <w:bottom w:val="none" w:sz="0" w:space="0" w:color="auto"/>
                <w:right w:val="none" w:sz="0" w:space="0" w:color="auto"/>
              </w:divBdr>
            </w:div>
            <w:div w:id="1397431392">
              <w:marLeft w:val="0"/>
              <w:marRight w:val="0"/>
              <w:marTop w:val="0"/>
              <w:marBottom w:val="0"/>
              <w:divBdr>
                <w:top w:val="none" w:sz="0" w:space="0" w:color="auto"/>
                <w:left w:val="none" w:sz="0" w:space="0" w:color="auto"/>
                <w:bottom w:val="none" w:sz="0" w:space="0" w:color="auto"/>
                <w:right w:val="none" w:sz="0" w:space="0" w:color="auto"/>
              </w:divBdr>
            </w:div>
            <w:div w:id="775637369">
              <w:marLeft w:val="0"/>
              <w:marRight w:val="0"/>
              <w:marTop w:val="0"/>
              <w:marBottom w:val="0"/>
              <w:divBdr>
                <w:top w:val="none" w:sz="0" w:space="0" w:color="auto"/>
                <w:left w:val="none" w:sz="0" w:space="0" w:color="auto"/>
                <w:bottom w:val="none" w:sz="0" w:space="0" w:color="auto"/>
                <w:right w:val="none" w:sz="0" w:space="0" w:color="auto"/>
              </w:divBdr>
            </w:div>
            <w:div w:id="1401368253">
              <w:marLeft w:val="0"/>
              <w:marRight w:val="0"/>
              <w:marTop w:val="0"/>
              <w:marBottom w:val="0"/>
              <w:divBdr>
                <w:top w:val="none" w:sz="0" w:space="0" w:color="auto"/>
                <w:left w:val="none" w:sz="0" w:space="0" w:color="auto"/>
                <w:bottom w:val="none" w:sz="0" w:space="0" w:color="auto"/>
                <w:right w:val="none" w:sz="0" w:space="0" w:color="auto"/>
              </w:divBdr>
            </w:div>
            <w:div w:id="222907428">
              <w:marLeft w:val="0"/>
              <w:marRight w:val="0"/>
              <w:marTop w:val="0"/>
              <w:marBottom w:val="0"/>
              <w:divBdr>
                <w:top w:val="none" w:sz="0" w:space="0" w:color="auto"/>
                <w:left w:val="none" w:sz="0" w:space="0" w:color="auto"/>
                <w:bottom w:val="none" w:sz="0" w:space="0" w:color="auto"/>
                <w:right w:val="none" w:sz="0" w:space="0" w:color="auto"/>
              </w:divBdr>
            </w:div>
            <w:div w:id="527523764">
              <w:marLeft w:val="0"/>
              <w:marRight w:val="0"/>
              <w:marTop w:val="0"/>
              <w:marBottom w:val="0"/>
              <w:divBdr>
                <w:top w:val="none" w:sz="0" w:space="0" w:color="auto"/>
                <w:left w:val="none" w:sz="0" w:space="0" w:color="auto"/>
                <w:bottom w:val="none" w:sz="0" w:space="0" w:color="auto"/>
                <w:right w:val="none" w:sz="0" w:space="0" w:color="auto"/>
              </w:divBdr>
            </w:div>
            <w:div w:id="1565070917">
              <w:marLeft w:val="0"/>
              <w:marRight w:val="0"/>
              <w:marTop w:val="0"/>
              <w:marBottom w:val="0"/>
              <w:divBdr>
                <w:top w:val="none" w:sz="0" w:space="0" w:color="auto"/>
                <w:left w:val="none" w:sz="0" w:space="0" w:color="auto"/>
                <w:bottom w:val="none" w:sz="0" w:space="0" w:color="auto"/>
                <w:right w:val="none" w:sz="0" w:space="0" w:color="auto"/>
              </w:divBdr>
            </w:div>
          </w:divsChild>
        </w:div>
        <w:div w:id="363945635">
          <w:marLeft w:val="0"/>
          <w:marRight w:val="0"/>
          <w:marTop w:val="0"/>
          <w:marBottom w:val="0"/>
          <w:divBdr>
            <w:top w:val="none" w:sz="0" w:space="0" w:color="auto"/>
            <w:left w:val="none" w:sz="0" w:space="0" w:color="auto"/>
            <w:bottom w:val="none" w:sz="0" w:space="0" w:color="auto"/>
            <w:right w:val="none" w:sz="0" w:space="0" w:color="auto"/>
          </w:divBdr>
          <w:divsChild>
            <w:div w:id="1591038447">
              <w:marLeft w:val="0"/>
              <w:marRight w:val="0"/>
              <w:marTop w:val="0"/>
              <w:marBottom w:val="0"/>
              <w:divBdr>
                <w:top w:val="none" w:sz="0" w:space="0" w:color="auto"/>
                <w:left w:val="none" w:sz="0" w:space="0" w:color="auto"/>
                <w:bottom w:val="none" w:sz="0" w:space="0" w:color="auto"/>
                <w:right w:val="none" w:sz="0" w:space="0" w:color="auto"/>
              </w:divBdr>
            </w:div>
            <w:div w:id="417555593">
              <w:marLeft w:val="0"/>
              <w:marRight w:val="0"/>
              <w:marTop w:val="0"/>
              <w:marBottom w:val="0"/>
              <w:divBdr>
                <w:top w:val="none" w:sz="0" w:space="0" w:color="auto"/>
                <w:left w:val="none" w:sz="0" w:space="0" w:color="auto"/>
                <w:bottom w:val="none" w:sz="0" w:space="0" w:color="auto"/>
                <w:right w:val="none" w:sz="0" w:space="0" w:color="auto"/>
              </w:divBdr>
            </w:div>
            <w:div w:id="1042244749">
              <w:marLeft w:val="0"/>
              <w:marRight w:val="0"/>
              <w:marTop w:val="0"/>
              <w:marBottom w:val="0"/>
              <w:divBdr>
                <w:top w:val="none" w:sz="0" w:space="0" w:color="auto"/>
                <w:left w:val="none" w:sz="0" w:space="0" w:color="auto"/>
                <w:bottom w:val="none" w:sz="0" w:space="0" w:color="auto"/>
                <w:right w:val="none" w:sz="0" w:space="0" w:color="auto"/>
              </w:divBdr>
            </w:div>
            <w:div w:id="7308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Jonlin</dc:creator>
  <cp:keywords/>
  <dc:description/>
  <cp:lastModifiedBy>Duane Jonlin</cp:lastModifiedBy>
  <cp:revision>37</cp:revision>
  <dcterms:created xsi:type="dcterms:W3CDTF">2024-08-01T16:08:00Z</dcterms:created>
  <dcterms:modified xsi:type="dcterms:W3CDTF">2024-10-09T17:41:00Z</dcterms:modified>
</cp:coreProperties>
</file>